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7E541F" w:rsidRDefault="00171D14" w:rsidP="000460F7">
            <w:pPr>
              <w:pStyle w:val="Title"/>
              <w:keepLines/>
              <w:widowControl/>
              <w:spacing w:before="120"/>
              <w:ind w:left="0"/>
              <w:jc w:val="left"/>
              <w:rPr>
                <w:sz w:val="20"/>
                <w:szCs w:val="20"/>
                <w:highlight w:val="yellow"/>
              </w:rPr>
            </w:pPr>
            <w:r w:rsidRPr="007E541F">
              <w:rPr>
                <w:sz w:val="20"/>
                <w:szCs w:val="20"/>
                <w:highlight w:val="yellow"/>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00F83812">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vAlign w:val="center"/>
          </w:tcPr>
          <w:p w14:paraId="4CCD6E8E" w14:textId="7E0F18A5" w:rsidR="006819D3" w:rsidRPr="00F83812" w:rsidRDefault="007E541F" w:rsidP="00F83812">
            <w:pPr>
              <w:pStyle w:val="TableParagraph"/>
              <w:keepLines/>
              <w:widowControl/>
              <w:spacing w:line="223" w:lineRule="exact"/>
              <w:ind w:left="110"/>
              <w:jc w:val="center"/>
              <w:rPr>
                <w:b/>
                <w:bCs/>
                <w:sz w:val="18"/>
                <w:szCs w:val="18"/>
              </w:rPr>
            </w:pPr>
            <w:r w:rsidRPr="00F83812">
              <w:rPr>
                <w:b/>
                <w:bCs/>
                <w:sz w:val="20"/>
                <w:szCs w:val="20"/>
              </w:rPr>
              <w:t>Cost-efficient utility investments and operations</w:t>
            </w: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754FD1">
            <w:pPr>
              <w:pStyle w:val="TableParagraph"/>
              <w:keepLines/>
              <w:widowControl/>
              <w:spacing w:line="266" w:lineRule="auto"/>
              <w:ind w:left="208" w:right="199" w:hanging="5"/>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2431615D" w:rsidR="00AB56BB" w:rsidRPr="00AB56BB" w:rsidRDefault="007E541F" w:rsidP="007E541F">
            <w:pPr>
              <w:pStyle w:val="TableParagraph"/>
              <w:keepLines/>
              <w:widowControl/>
              <w:jc w:val="center"/>
              <w:rPr>
                <w:rFonts w:ascii="Times New Roman"/>
                <w:sz w:val="18"/>
                <w:szCs w:val="20"/>
              </w:rPr>
            </w:pPr>
            <w:r>
              <w:rPr>
                <w:rFonts w:ascii="Times New Roman"/>
                <w:sz w:val="18"/>
                <w:szCs w:val="20"/>
              </w:rPr>
              <w:t>0</w:t>
            </w:r>
          </w:p>
        </w:tc>
        <w:tc>
          <w:tcPr>
            <w:tcW w:w="3296" w:type="dxa"/>
          </w:tcPr>
          <w:p w14:paraId="24C1DD4C" w14:textId="77777777" w:rsidR="00AB56BB" w:rsidRPr="00AB56BB" w:rsidRDefault="00AB56BB" w:rsidP="00754FD1">
            <w:pPr>
              <w:pStyle w:val="TableParagraph"/>
              <w:keepLines/>
              <w:widowControl/>
              <w:rPr>
                <w:rFonts w:ascii="Times New Roman"/>
                <w:sz w:val="18"/>
                <w:szCs w:val="20"/>
              </w:rPr>
            </w:pPr>
          </w:p>
        </w:tc>
        <w:tc>
          <w:tcPr>
            <w:tcW w:w="4534" w:type="dxa"/>
          </w:tcPr>
          <w:p w14:paraId="3C53784A" w14:textId="77777777" w:rsidR="00AB56BB" w:rsidRPr="00AB56BB" w:rsidRDefault="00AB56BB" w:rsidP="00754FD1">
            <w:pPr>
              <w:pStyle w:val="TableParagraph"/>
              <w:keepLines/>
              <w:widowControl/>
              <w:rPr>
                <w:rFonts w:ascii="Times New Roman"/>
                <w:sz w:val="18"/>
                <w:szCs w:val="20"/>
              </w:rPr>
            </w:pPr>
          </w:p>
        </w:tc>
      </w:tr>
      <w:tr w:rsidR="00AB56BB" w:rsidRPr="00AB56BB" w14:paraId="6CCC7BB6" w14:textId="77777777" w:rsidTr="705AF046">
        <w:trPr>
          <w:trHeight w:val="1398"/>
        </w:trPr>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50065DFC" w:rsidR="00AB56BB" w:rsidRPr="00170B8D" w:rsidRDefault="00A71544" w:rsidP="00754FD1">
            <w:pPr>
              <w:pStyle w:val="TableParagraph"/>
              <w:keepLines/>
              <w:widowControl/>
              <w:spacing w:before="98" w:line="232" w:lineRule="auto"/>
              <w:ind w:left="104" w:right="149"/>
              <w:rPr>
                <w:sz w:val="18"/>
                <w:szCs w:val="20"/>
              </w:rPr>
            </w:pPr>
            <w:r>
              <w:rPr>
                <w:sz w:val="18"/>
                <w:szCs w:val="20"/>
              </w:rPr>
              <w:t>Backward-looking</w:t>
            </w:r>
            <w:r w:rsidR="00AB56BB" w:rsidRPr="00170B8D">
              <w:rPr>
                <w:sz w:val="18"/>
                <w:szCs w:val="20"/>
              </w:rPr>
              <w:t xml:space="preserve"> (w/ earnings adjustments) </w:t>
            </w:r>
          </w:p>
        </w:tc>
        <w:tc>
          <w:tcPr>
            <w:tcW w:w="971" w:type="dxa"/>
            <w:gridSpan w:val="2"/>
          </w:tcPr>
          <w:p w14:paraId="546A1853" w14:textId="1570E429" w:rsidR="00AB56BB" w:rsidRPr="00AB56BB" w:rsidRDefault="007E541F" w:rsidP="007E541F">
            <w:pPr>
              <w:pStyle w:val="TableParagraph"/>
              <w:keepLines/>
              <w:widowControl/>
              <w:jc w:val="center"/>
              <w:rPr>
                <w:rFonts w:ascii="Times New Roman"/>
                <w:sz w:val="18"/>
                <w:szCs w:val="20"/>
              </w:rPr>
            </w:pPr>
            <w:r>
              <w:rPr>
                <w:rFonts w:ascii="Times New Roman"/>
                <w:sz w:val="18"/>
                <w:szCs w:val="20"/>
              </w:rPr>
              <w:t>+</w:t>
            </w:r>
          </w:p>
        </w:tc>
        <w:tc>
          <w:tcPr>
            <w:tcW w:w="3296" w:type="dxa"/>
          </w:tcPr>
          <w:p w14:paraId="053409F0" w14:textId="77777777" w:rsidR="00AB56BB" w:rsidRPr="00AB56BB" w:rsidRDefault="00AB56BB" w:rsidP="005A69A8">
            <w:pPr>
              <w:pStyle w:val="TableParagraph"/>
              <w:keepLines/>
              <w:widowControl/>
              <w:rPr>
                <w:rFonts w:ascii="Times New Roman"/>
                <w:sz w:val="18"/>
                <w:szCs w:val="18"/>
              </w:rPr>
            </w:pPr>
          </w:p>
        </w:tc>
        <w:tc>
          <w:tcPr>
            <w:tcW w:w="4534" w:type="dxa"/>
          </w:tcPr>
          <w:p w14:paraId="386DF13D" w14:textId="77777777" w:rsidR="00AB56BB" w:rsidRPr="00AB56BB" w:rsidRDefault="00AB56BB" w:rsidP="00754FD1">
            <w:pPr>
              <w:pStyle w:val="TableParagraph"/>
              <w:keepLines/>
              <w:widowControl/>
              <w:rPr>
                <w:rFonts w:ascii="Times New Roman"/>
                <w:sz w:val="18"/>
                <w:szCs w:val="20"/>
              </w:rPr>
            </w:pP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26EDB54A" w:rsidR="00AB56BB" w:rsidRPr="00AB56BB" w:rsidRDefault="007E541F" w:rsidP="007E541F">
            <w:pPr>
              <w:pStyle w:val="TableParagraph"/>
              <w:keepLines/>
              <w:widowControl/>
              <w:jc w:val="center"/>
              <w:rPr>
                <w:rFonts w:ascii="Times New Roman"/>
                <w:sz w:val="18"/>
                <w:szCs w:val="20"/>
              </w:rPr>
            </w:pPr>
            <w:r>
              <w:rPr>
                <w:rFonts w:ascii="Times New Roman"/>
                <w:sz w:val="18"/>
                <w:szCs w:val="20"/>
              </w:rPr>
              <w:t>0</w:t>
            </w:r>
          </w:p>
        </w:tc>
        <w:tc>
          <w:tcPr>
            <w:tcW w:w="3296" w:type="dxa"/>
          </w:tcPr>
          <w:p w14:paraId="0A1738A7" w14:textId="77777777" w:rsidR="00AB56BB" w:rsidRPr="00AB56BB" w:rsidRDefault="00AB56BB" w:rsidP="00754FD1">
            <w:pPr>
              <w:pStyle w:val="TableParagraph"/>
              <w:keepLines/>
              <w:widowControl/>
              <w:rPr>
                <w:rFonts w:ascii="Times New Roman"/>
                <w:sz w:val="18"/>
                <w:szCs w:val="20"/>
              </w:rPr>
            </w:pPr>
          </w:p>
        </w:tc>
        <w:tc>
          <w:tcPr>
            <w:tcW w:w="4534" w:type="dxa"/>
          </w:tcPr>
          <w:p w14:paraId="37E50DCC" w14:textId="77777777" w:rsidR="00AB56BB" w:rsidRPr="00AB56BB" w:rsidRDefault="00AB56BB" w:rsidP="00754FD1">
            <w:pPr>
              <w:pStyle w:val="TableParagraph"/>
              <w:keepLines/>
              <w:widowControl/>
              <w:rPr>
                <w:rFonts w:ascii="Times New Roman"/>
                <w:sz w:val="18"/>
                <w:szCs w:val="20"/>
              </w:rPr>
            </w:pPr>
          </w:p>
        </w:tc>
      </w:tr>
      <w:tr w:rsidR="00170B8D" w:rsidRPr="00AB56BB" w14:paraId="6BCED2E3" w14:textId="77777777" w:rsidTr="2539CAE0">
        <w:tc>
          <w:tcPr>
            <w:tcW w:w="1945" w:type="dxa"/>
            <w:vMerge w:val="restart"/>
            <w:vAlign w:val="center"/>
          </w:tcPr>
          <w:p w14:paraId="59A8BB57" w14:textId="17ACB13E" w:rsidR="00170B8D" w:rsidRDefault="00170B8D" w:rsidP="00164208">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170B8D" w:rsidRDefault="0028509B" w:rsidP="00754FD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4CC13858" w:rsidR="00170B8D" w:rsidRPr="00AB56BB" w:rsidRDefault="007E541F" w:rsidP="007E541F">
            <w:pPr>
              <w:pStyle w:val="TableParagraph"/>
              <w:keepLines/>
              <w:widowControl/>
              <w:jc w:val="center"/>
              <w:rPr>
                <w:rFonts w:ascii="Times New Roman"/>
                <w:sz w:val="18"/>
                <w:szCs w:val="20"/>
              </w:rPr>
            </w:pPr>
            <w:r>
              <w:rPr>
                <w:rFonts w:ascii="Times New Roman"/>
                <w:sz w:val="18"/>
                <w:szCs w:val="20"/>
              </w:rPr>
              <w:t>-</w:t>
            </w:r>
          </w:p>
        </w:tc>
        <w:tc>
          <w:tcPr>
            <w:tcW w:w="3296" w:type="dxa"/>
          </w:tcPr>
          <w:p w14:paraId="24774D2A" w14:textId="26B879E0" w:rsidR="00170B8D" w:rsidRPr="073D5F75" w:rsidRDefault="00F83812" w:rsidP="00754FD1">
            <w:pPr>
              <w:pStyle w:val="TableParagraph"/>
              <w:keepLines/>
              <w:widowControl/>
              <w:rPr>
                <w:rFonts w:ascii="Times New Roman"/>
                <w:sz w:val="18"/>
                <w:szCs w:val="18"/>
              </w:rPr>
            </w:pPr>
            <w:r>
              <w:rPr>
                <w:rFonts w:ascii="Times New Roman"/>
                <w:sz w:val="18"/>
                <w:szCs w:val="18"/>
              </w:rPr>
              <w:t xml:space="preserve">Currently, Virginia has a false dichotomy between operating and capital expenditures, which leads to inefficiency, </w:t>
            </w:r>
            <w:r w:rsidR="00887020">
              <w:rPr>
                <w:rFonts w:ascii="Times New Roman"/>
                <w:sz w:val="18"/>
                <w:szCs w:val="18"/>
              </w:rPr>
              <w:t>inherent in</w:t>
            </w:r>
            <w:r>
              <w:rPr>
                <w:rFonts w:ascii="Times New Roman"/>
                <w:sz w:val="18"/>
                <w:szCs w:val="18"/>
              </w:rPr>
              <w:t xml:space="preserve"> the trackers. </w:t>
            </w:r>
          </w:p>
        </w:tc>
        <w:tc>
          <w:tcPr>
            <w:tcW w:w="4534" w:type="dxa"/>
          </w:tcPr>
          <w:p w14:paraId="0FD7FB42" w14:textId="49164F9F" w:rsidR="00170B8D" w:rsidRDefault="00F83812" w:rsidP="00754FD1">
            <w:pPr>
              <w:pStyle w:val="TableParagraph"/>
              <w:keepLines/>
              <w:widowControl/>
              <w:rPr>
                <w:rFonts w:ascii="Times New Roman"/>
                <w:sz w:val="18"/>
                <w:szCs w:val="20"/>
              </w:rPr>
            </w:pPr>
            <w:r>
              <w:rPr>
                <w:rFonts w:ascii="Times New Roman"/>
                <w:sz w:val="18"/>
                <w:szCs w:val="18"/>
              </w:rPr>
              <w:t xml:space="preserve">Brining </w:t>
            </w:r>
            <w:r w:rsidR="00887020">
              <w:rPr>
                <w:rFonts w:ascii="Times New Roman"/>
                <w:sz w:val="18"/>
                <w:szCs w:val="18"/>
              </w:rPr>
              <w:t>operating and capital expenditures</w:t>
            </w:r>
            <w:r>
              <w:rPr>
                <w:rFonts w:ascii="Times New Roman"/>
                <w:sz w:val="18"/>
                <w:szCs w:val="18"/>
              </w:rPr>
              <w:t xml:space="preserve"> into a single ratemaking mechanism (eliminating the RACs, riders, and fuel factors and incorporating these into base rates) creates incentive for efficient business decisions</w:t>
            </w:r>
            <w:r w:rsidR="00887020">
              <w:rPr>
                <w:rFonts w:ascii="Times New Roman"/>
                <w:sz w:val="18"/>
                <w:szCs w:val="18"/>
              </w:rPr>
              <w:t>—</w:t>
            </w:r>
            <w:r w:rsidR="00887020">
              <w:rPr>
                <w:rFonts w:ascii="Times New Roman"/>
                <w:sz w:val="18"/>
                <w:szCs w:val="18"/>
              </w:rPr>
              <w:t xml:space="preserve">and thus, more cost-efficient utility investment and operations. </w:t>
            </w:r>
          </w:p>
        </w:tc>
      </w:tr>
      <w:tr w:rsidR="00F83812" w:rsidRPr="00AB56BB" w14:paraId="08118783" w14:textId="77777777" w:rsidTr="2539CAE0">
        <w:tc>
          <w:tcPr>
            <w:tcW w:w="1945" w:type="dxa"/>
            <w:vMerge/>
            <w:vAlign w:val="center"/>
          </w:tcPr>
          <w:p w14:paraId="6DD780F7"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7F7B84E7" w14:textId="21DC8B1E" w:rsidR="00F83812" w:rsidRDefault="00F83812" w:rsidP="00F83812">
            <w:pPr>
              <w:pStyle w:val="TableParagraph"/>
              <w:keepLines/>
              <w:widowControl/>
              <w:spacing w:line="207" w:lineRule="exact"/>
              <w:ind w:left="104"/>
              <w:rPr>
                <w:sz w:val="18"/>
                <w:szCs w:val="20"/>
              </w:rPr>
            </w:pPr>
            <w:r>
              <w:rPr>
                <w:sz w:val="18"/>
                <w:szCs w:val="20"/>
              </w:rPr>
              <w:t>Fuel Cost Recovery</w:t>
            </w:r>
          </w:p>
        </w:tc>
        <w:tc>
          <w:tcPr>
            <w:tcW w:w="971" w:type="dxa"/>
            <w:gridSpan w:val="2"/>
          </w:tcPr>
          <w:p w14:paraId="40A697D1" w14:textId="2B9B5FDC"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521AF72E" w14:textId="28995071" w:rsidR="00F83812" w:rsidRPr="073D5F75" w:rsidRDefault="00F83812" w:rsidP="00F83812">
            <w:pPr>
              <w:pStyle w:val="TableParagraph"/>
              <w:keepLines/>
              <w:widowControl/>
              <w:rPr>
                <w:rFonts w:ascii="Times New Roman"/>
                <w:sz w:val="18"/>
                <w:szCs w:val="18"/>
              </w:rPr>
            </w:pPr>
            <w:r w:rsidRPr="00F83812">
              <w:rPr>
                <w:rFonts w:ascii="Times New Roman"/>
                <w:i/>
                <w:iCs/>
                <w:sz w:val="18"/>
                <w:szCs w:val="18"/>
              </w:rPr>
              <w:t>See</w:t>
            </w:r>
            <w:r>
              <w:rPr>
                <w:rFonts w:ascii="Times New Roman"/>
                <w:sz w:val="18"/>
                <w:szCs w:val="18"/>
              </w:rPr>
              <w:t xml:space="preserve"> supra</w:t>
            </w:r>
          </w:p>
        </w:tc>
        <w:tc>
          <w:tcPr>
            <w:tcW w:w="4534" w:type="dxa"/>
          </w:tcPr>
          <w:p w14:paraId="6F8979C6" w14:textId="72626972" w:rsidR="00F83812"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r>
      <w:tr w:rsidR="00F83812" w:rsidRPr="00AB56BB" w14:paraId="0128EF7A" w14:textId="77777777" w:rsidTr="2539CAE0">
        <w:tc>
          <w:tcPr>
            <w:tcW w:w="1945" w:type="dxa"/>
            <w:vMerge/>
            <w:vAlign w:val="center"/>
          </w:tcPr>
          <w:p w14:paraId="027CD6D6" w14:textId="74AD2FDF" w:rsidR="00F83812" w:rsidRPr="00AB56BB" w:rsidRDefault="00F83812" w:rsidP="00F83812">
            <w:pPr>
              <w:pStyle w:val="TableParagraph"/>
              <w:keepLines/>
              <w:widowControl/>
              <w:spacing w:line="268" w:lineRule="auto"/>
              <w:ind w:left="60"/>
              <w:rPr>
                <w:b/>
                <w:sz w:val="18"/>
                <w:szCs w:val="20"/>
              </w:rPr>
            </w:pPr>
          </w:p>
        </w:tc>
        <w:tc>
          <w:tcPr>
            <w:tcW w:w="2217" w:type="dxa"/>
          </w:tcPr>
          <w:p w14:paraId="66BE56D8" w14:textId="0F7B5E51" w:rsidR="00F83812" w:rsidRPr="00AB56BB" w:rsidRDefault="00F83812" w:rsidP="00F83812">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02B9573D"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1017D892" w14:textId="110618EC" w:rsidR="00F83812" w:rsidRPr="00AB56BB" w:rsidRDefault="00F83812" w:rsidP="00F83812">
            <w:pPr>
              <w:pStyle w:val="TableParagraph"/>
              <w:keepLines/>
              <w:widowControl/>
              <w:rPr>
                <w:rFonts w:ascii="Times New Roman"/>
                <w:sz w:val="18"/>
                <w:szCs w:val="18"/>
              </w:rPr>
            </w:pPr>
            <w:r w:rsidRPr="00F83812">
              <w:rPr>
                <w:rFonts w:ascii="Times New Roman"/>
                <w:i/>
                <w:iCs/>
                <w:sz w:val="18"/>
                <w:szCs w:val="18"/>
              </w:rPr>
              <w:t>See</w:t>
            </w:r>
            <w:r>
              <w:rPr>
                <w:rFonts w:ascii="Times New Roman"/>
                <w:sz w:val="18"/>
                <w:szCs w:val="18"/>
              </w:rPr>
              <w:t xml:space="preserve"> supra</w:t>
            </w:r>
          </w:p>
        </w:tc>
        <w:tc>
          <w:tcPr>
            <w:tcW w:w="4534" w:type="dxa"/>
          </w:tcPr>
          <w:p w14:paraId="7DDC229D" w14:textId="62A81E15"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r>
      <w:tr w:rsidR="00F83812" w:rsidRPr="00AB56BB" w14:paraId="2ABB39F3" w14:textId="77777777" w:rsidTr="2539CAE0">
        <w:tc>
          <w:tcPr>
            <w:tcW w:w="1945" w:type="dxa"/>
            <w:vMerge/>
          </w:tcPr>
          <w:p w14:paraId="584D7B53"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2F8108CE" w14:textId="4D4A0B41" w:rsidR="00F83812" w:rsidRDefault="00F83812" w:rsidP="00F83812">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1B546A3F"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7B2EA571" w14:textId="52D7C3BC"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478DEC9E" w14:textId="71BF9C6F"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r>
      <w:tr w:rsidR="00F83812" w:rsidRPr="00AB56BB" w14:paraId="1A57C391" w14:textId="77777777" w:rsidTr="2539CAE0">
        <w:tc>
          <w:tcPr>
            <w:tcW w:w="1945" w:type="dxa"/>
            <w:vMerge/>
          </w:tcPr>
          <w:p w14:paraId="6EAE6640"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33959977" w14:textId="75DE3790" w:rsidR="00F83812" w:rsidRDefault="00F83812" w:rsidP="00F83812">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107CB760"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1B06CA52" w14:textId="37614AEE"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6E8C6050" w14:textId="6D447F32" w:rsidR="00F83812" w:rsidRPr="00AB56BB" w:rsidRDefault="00F83812" w:rsidP="00F83812">
            <w:pPr>
              <w:pStyle w:val="TableParagraph"/>
              <w:keepLines/>
              <w:widowControl/>
              <w:rPr>
                <w:rFonts w:ascii="Times New Roman"/>
                <w:sz w:val="18"/>
                <w:szCs w:val="18"/>
              </w:rPr>
            </w:pPr>
            <w:r w:rsidRPr="00F83812">
              <w:rPr>
                <w:rFonts w:ascii="Times New Roman"/>
                <w:i/>
                <w:iCs/>
                <w:sz w:val="18"/>
                <w:szCs w:val="18"/>
              </w:rPr>
              <w:t>See</w:t>
            </w:r>
            <w:r>
              <w:rPr>
                <w:rFonts w:ascii="Times New Roman"/>
                <w:sz w:val="18"/>
                <w:szCs w:val="18"/>
              </w:rPr>
              <w:t xml:space="preserve"> supra</w:t>
            </w:r>
          </w:p>
        </w:tc>
      </w:tr>
      <w:tr w:rsidR="00F83812" w:rsidRPr="00AB56BB" w14:paraId="5DB56EE8" w14:textId="77777777" w:rsidTr="2539CAE0">
        <w:tc>
          <w:tcPr>
            <w:tcW w:w="1945" w:type="dxa"/>
            <w:vMerge/>
          </w:tcPr>
          <w:p w14:paraId="33F657BC"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0C909AC5" w14:textId="044418AD" w:rsidR="00F83812" w:rsidRDefault="00F83812" w:rsidP="00F83812">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1B93A91B"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4515BFA6" w14:textId="36B86707"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6E66180C" w14:textId="5B92037C" w:rsidR="00F83812" w:rsidRPr="00AB56BB" w:rsidRDefault="00F83812" w:rsidP="00F83812">
            <w:pPr>
              <w:pStyle w:val="TableParagraph"/>
              <w:keepLines/>
              <w:widowControl/>
              <w:rPr>
                <w:rFonts w:ascii="Times New Roman"/>
                <w:sz w:val="18"/>
                <w:szCs w:val="18"/>
              </w:rPr>
            </w:pPr>
            <w:r w:rsidRPr="00F83812">
              <w:rPr>
                <w:rFonts w:ascii="Times New Roman"/>
                <w:i/>
                <w:iCs/>
                <w:sz w:val="18"/>
                <w:szCs w:val="18"/>
              </w:rPr>
              <w:t>See</w:t>
            </w:r>
            <w:r>
              <w:rPr>
                <w:rFonts w:ascii="Times New Roman"/>
                <w:sz w:val="18"/>
                <w:szCs w:val="18"/>
              </w:rPr>
              <w:t xml:space="preserve"> supra</w:t>
            </w:r>
          </w:p>
        </w:tc>
      </w:tr>
      <w:tr w:rsidR="00F83812" w:rsidRPr="00AB56BB" w14:paraId="2FAA517C" w14:textId="77777777" w:rsidTr="2539CAE0">
        <w:tc>
          <w:tcPr>
            <w:tcW w:w="1945" w:type="dxa"/>
            <w:vMerge/>
          </w:tcPr>
          <w:p w14:paraId="0B71937D"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1F33C6C1" w14:textId="0653DDEC" w:rsidR="00F83812" w:rsidRDefault="00F83812" w:rsidP="00F83812">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0ACB3260"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1A3D8531" w14:textId="2DC9BDEE"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452B7813" w14:textId="558594B5" w:rsidR="00F83812" w:rsidRPr="00AB56BB" w:rsidRDefault="00F83812" w:rsidP="00F83812">
            <w:pPr>
              <w:pStyle w:val="TableParagraph"/>
              <w:keepLines/>
              <w:widowControl/>
              <w:rPr>
                <w:rFonts w:ascii="Times New Roman"/>
                <w:sz w:val="18"/>
                <w:szCs w:val="18"/>
              </w:rPr>
            </w:pPr>
            <w:r w:rsidRPr="00F83812">
              <w:rPr>
                <w:rFonts w:ascii="Times New Roman"/>
                <w:i/>
                <w:iCs/>
                <w:sz w:val="18"/>
                <w:szCs w:val="18"/>
              </w:rPr>
              <w:t>See</w:t>
            </w:r>
            <w:r>
              <w:rPr>
                <w:rFonts w:ascii="Times New Roman"/>
                <w:sz w:val="18"/>
                <w:szCs w:val="18"/>
              </w:rPr>
              <w:t xml:space="preserve"> supra</w:t>
            </w:r>
          </w:p>
        </w:tc>
      </w:tr>
      <w:tr w:rsidR="00F83812" w:rsidRPr="00AB56BB" w14:paraId="32332293" w14:textId="77777777" w:rsidTr="2539CAE0">
        <w:tc>
          <w:tcPr>
            <w:tcW w:w="1945" w:type="dxa"/>
            <w:vMerge/>
          </w:tcPr>
          <w:p w14:paraId="3404E10F"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3A3ABC37" w14:textId="3663E1AB" w:rsidR="00F83812" w:rsidRDefault="00F83812" w:rsidP="00F83812">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30583DE1"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69B97D06" w14:textId="3378432B"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0BFE3490" w14:textId="0A9F93C6"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r>
      <w:tr w:rsidR="00F83812" w:rsidRPr="00AB56BB" w14:paraId="616226A1" w14:textId="77777777" w:rsidTr="2539CAE0">
        <w:trPr>
          <w:trHeight w:val="680"/>
        </w:trPr>
        <w:tc>
          <w:tcPr>
            <w:tcW w:w="1945" w:type="dxa"/>
            <w:vMerge w:val="restart"/>
            <w:tcBorders>
              <w:top w:val="dashed" w:sz="4" w:space="0" w:color="auto"/>
            </w:tcBorders>
          </w:tcPr>
          <w:p w14:paraId="3ABE4385" w14:textId="45FA3D29" w:rsidR="00F83812" w:rsidRDefault="00F83812" w:rsidP="00F83812">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rate making for attention)</w:t>
            </w:r>
          </w:p>
        </w:tc>
        <w:tc>
          <w:tcPr>
            <w:tcW w:w="2217" w:type="dxa"/>
          </w:tcPr>
          <w:p w14:paraId="30310C20" w14:textId="77777777" w:rsidR="00F83812" w:rsidRDefault="00F83812" w:rsidP="00F83812">
            <w:pPr>
              <w:pStyle w:val="TableParagraph"/>
              <w:keepLines/>
              <w:widowControl/>
              <w:spacing w:line="207" w:lineRule="exact"/>
              <w:ind w:left="180"/>
              <w:rPr>
                <w:sz w:val="18"/>
                <w:szCs w:val="20"/>
              </w:rPr>
            </w:pPr>
          </w:p>
        </w:tc>
        <w:tc>
          <w:tcPr>
            <w:tcW w:w="971" w:type="dxa"/>
            <w:gridSpan w:val="2"/>
          </w:tcPr>
          <w:p w14:paraId="64AAF40D" w14:textId="77777777" w:rsidR="00F83812" w:rsidRPr="00AB56BB" w:rsidRDefault="00F83812" w:rsidP="00F83812">
            <w:pPr>
              <w:pStyle w:val="TableParagraph"/>
              <w:keepLines/>
              <w:widowControl/>
              <w:jc w:val="center"/>
              <w:rPr>
                <w:rFonts w:ascii="Times New Roman"/>
                <w:sz w:val="18"/>
                <w:szCs w:val="20"/>
              </w:rPr>
            </w:pPr>
          </w:p>
        </w:tc>
        <w:tc>
          <w:tcPr>
            <w:tcW w:w="3296" w:type="dxa"/>
          </w:tcPr>
          <w:p w14:paraId="0D617B0E" w14:textId="77777777" w:rsidR="00F83812" w:rsidRPr="00AB56BB" w:rsidRDefault="00F83812" w:rsidP="00F83812">
            <w:pPr>
              <w:pStyle w:val="TableParagraph"/>
              <w:keepLines/>
              <w:widowControl/>
              <w:rPr>
                <w:rFonts w:ascii="Times New Roman"/>
                <w:sz w:val="18"/>
                <w:szCs w:val="20"/>
              </w:rPr>
            </w:pPr>
          </w:p>
        </w:tc>
        <w:tc>
          <w:tcPr>
            <w:tcW w:w="4534" w:type="dxa"/>
          </w:tcPr>
          <w:p w14:paraId="6FBA83E0" w14:textId="77777777" w:rsidR="00F83812" w:rsidRPr="00AB56BB" w:rsidRDefault="00F83812" w:rsidP="00F83812">
            <w:pPr>
              <w:pStyle w:val="TableParagraph"/>
              <w:keepLines/>
              <w:widowControl/>
              <w:rPr>
                <w:rFonts w:ascii="Times New Roman"/>
                <w:sz w:val="18"/>
                <w:szCs w:val="20"/>
              </w:rPr>
            </w:pPr>
          </w:p>
        </w:tc>
      </w:tr>
      <w:tr w:rsidR="00F83812" w:rsidRPr="00AB56BB" w14:paraId="1853A5E2" w14:textId="77777777" w:rsidTr="2539CAE0">
        <w:tc>
          <w:tcPr>
            <w:tcW w:w="1945" w:type="dxa"/>
            <w:vMerge/>
          </w:tcPr>
          <w:p w14:paraId="7A3C70CC"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7BC04E72" w14:textId="77777777" w:rsidR="00F83812" w:rsidRDefault="00F83812" w:rsidP="00F83812">
            <w:pPr>
              <w:pStyle w:val="TableParagraph"/>
              <w:keepLines/>
              <w:widowControl/>
              <w:spacing w:line="207" w:lineRule="exact"/>
              <w:ind w:left="180"/>
              <w:rPr>
                <w:sz w:val="18"/>
                <w:szCs w:val="20"/>
              </w:rPr>
            </w:pPr>
          </w:p>
        </w:tc>
        <w:tc>
          <w:tcPr>
            <w:tcW w:w="971" w:type="dxa"/>
            <w:gridSpan w:val="2"/>
          </w:tcPr>
          <w:p w14:paraId="1B8E73DC" w14:textId="77777777" w:rsidR="00F83812" w:rsidRPr="00AB56BB" w:rsidRDefault="00F83812" w:rsidP="00F83812">
            <w:pPr>
              <w:pStyle w:val="TableParagraph"/>
              <w:keepLines/>
              <w:widowControl/>
              <w:jc w:val="center"/>
              <w:rPr>
                <w:rFonts w:ascii="Times New Roman"/>
                <w:sz w:val="18"/>
                <w:szCs w:val="20"/>
              </w:rPr>
            </w:pPr>
          </w:p>
        </w:tc>
        <w:tc>
          <w:tcPr>
            <w:tcW w:w="3296" w:type="dxa"/>
          </w:tcPr>
          <w:p w14:paraId="42FF8FEB" w14:textId="77777777" w:rsidR="00F83812" w:rsidRPr="00AB56BB" w:rsidRDefault="00F83812" w:rsidP="00F83812">
            <w:pPr>
              <w:pStyle w:val="TableParagraph"/>
              <w:keepLines/>
              <w:widowControl/>
              <w:rPr>
                <w:rFonts w:ascii="Times New Roman"/>
                <w:sz w:val="18"/>
                <w:szCs w:val="20"/>
              </w:rPr>
            </w:pPr>
          </w:p>
        </w:tc>
        <w:tc>
          <w:tcPr>
            <w:tcW w:w="4534" w:type="dxa"/>
          </w:tcPr>
          <w:p w14:paraId="614111C5" w14:textId="77777777" w:rsidR="00F83812" w:rsidRPr="00AB56BB" w:rsidRDefault="00F83812" w:rsidP="00F83812">
            <w:pPr>
              <w:pStyle w:val="TableParagraph"/>
              <w:keepLines/>
              <w:widowControl/>
              <w:rPr>
                <w:rFonts w:ascii="Times New Roman"/>
                <w:sz w:val="18"/>
                <w:szCs w:val="20"/>
              </w:rPr>
            </w:pPr>
          </w:p>
        </w:tc>
      </w:tr>
      <w:tr w:rsidR="00F83812" w:rsidRPr="00AB56BB" w14:paraId="41F8BC61" w14:textId="77777777" w:rsidTr="2539CAE0">
        <w:tc>
          <w:tcPr>
            <w:tcW w:w="1945" w:type="dxa"/>
          </w:tcPr>
          <w:p w14:paraId="6EC225F6" w14:textId="5B253493" w:rsidR="00F83812" w:rsidRDefault="00F83812" w:rsidP="00F83812">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F83812" w:rsidRDefault="00F83812" w:rsidP="00F83812">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444AB2A3"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51B799F7" w14:textId="7C503A54"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0B9A854E" w14:textId="4651A716"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r>
      <w:tr w:rsidR="00F83812" w:rsidRPr="00AB56BB" w14:paraId="7DD1FE9E" w14:textId="77777777" w:rsidTr="2539CAE0">
        <w:tc>
          <w:tcPr>
            <w:tcW w:w="1945" w:type="dxa"/>
            <w:vMerge w:val="restart"/>
            <w:vAlign w:val="center"/>
          </w:tcPr>
          <w:p w14:paraId="590187A1" w14:textId="48CE5B90" w:rsidR="00F83812" w:rsidRDefault="00F83812" w:rsidP="00F83812">
            <w:pPr>
              <w:pStyle w:val="TableParagraph"/>
              <w:keepLines/>
              <w:widowControl/>
              <w:spacing w:line="268" w:lineRule="auto"/>
              <w:ind w:left="60"/>
              <w:rPr>
                <w:b/>
                <w:spacing w:val="-2"/>
                <w:sz w:val="18"/>
                <w:szCs w:val="20"/>
              </w:rPr>
            </w:pPr>
            <w:r>
              <w:rPr>
                <w:b/>
                <w:spacing w:val="-2"/>
                <w:sz w:val="18"/>
                <w:szCs w:val="20"/>
              </w:rPr>
              <w:t>Performance adjustments and measurement</w:t>
            </w:r>
          </w:p>
        </w:tc>
        <w:tc>
          <w:tcPr>
            <w:tcW w:w="2217" w:type="dxa"/>
          </w:tcPr>
          <w:p w14:paraId="2ABD08DA" w14:textId="5A5DFA13" w:rsidR="00F83812" w:rsidRDefault="00F83812" w:rsidP="00F83812">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00B3DF26"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4DC630B0" w14:textId="77777777" w:rsidR="00F83812" w:rsidRPr="00AB56BB" w:rsidRDefault="00F83812" w:rsidP="00F83812">
            <w:pPr>
              <w:pStyle w:val="TableParagraph"/>
              <w:keepLines/>
              <w:widowControl/>
              <w:rPr>
                <w:rFonts w:ascii="Times New Roman"/>
                <w:sz w:val="18"/>
                <w:szCs w:val="20"/>
              </w:rPr>
            </w:pPr>
          </w:p>
        </w:tc>
        <w:tc>
          <w:tcPr>
            <w:tcW w:w="4534" w:type="dxa"/>
          </w:tcPr>
          <w:p w14:paraId="4746AFC5" w14:textId="77777777" w:rsidR="00F83812" w:rsidRPr="00AB56BB" w:rsidRDefault="00F83812" w:rsidP="00F83812">
            <w:pPr>
              <w:pStyle w:val="TableParagraph"/>
              <w:keepLines/>
              <w:widowControl/>
              <w:rPr>
                <w:rFonts w:ascii="Times New Roman"/>
                <w:sz w:val="18"/>
                <w:szCs w:val="20"/>
              </w:rPr>
            </w:pPr>
          </w:p>
        </w:tc>
      </w:tr>
      <w:tr w:rsidR="00F83812" w:rsidRPr="00AB56BB" w14:paraId="1471EFFC" w14:textId="77777777" w:rsidTr="2539CAE0">
        <w:tc>
          <w:tcPr>
            <w:tcW w:w="1945" w:type="dxa"/>
            <w:vMerge/>
          </w:tcPr>
          <w:p w14:paraId="793746CD"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58A41A03" w14:textId="68B4CA94" w:rsidR="00F83812" w:rsidRDefault="00F83812" w:rsidP="00F83812">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0F8476AC"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0EE17BEE" w14:textId="2377D880" w:rsidR="00F83812" w:rsidRPr="00AB56BB" w:rsidRDefault="00F83812" w:rsidP="00F83812">
            <w:pPr>
              <w:pStyle w:val="TableParagraph"/>
              <w:keepLines/>
              <w:widowControl/>
              <w:rPr>
                <w:rFonts w:ascii="Times New Roman"/>
                <w:sz w:val="18"/>
                <w:szCs w:val="20"/>
              </w:rPr>
            </w:pPr>
          </w:p>
        </w:tc>
        <w:tc>
          <w:tcPr>
            <w:tcW w:w="4534" w:type="dxa"/>
          </w:tcPr>
          <w:p w14:paraId="7B5C067D" w14:textId="6A681266" w:rsidR="00F83812" w:rsidRPr="00AB56BB" w:rsidRDefault="00F83812" w:rsidP="00F83812">
            <w:pPr>
              <w:pStyle w:val="TableParagraph"/>
              <w:keepLines/>
              <w:widowControl/>
              <w:rPr>
                <w:rFonts w:ascii="Times New Roman"/>
                <w:sz w:val="18"/>
                <w:szCs w:val="20"/>
              </w:rPr>
            </w:pPr>
            <w:r>
              <w:rPr>
                <w:rFonts w:ascii="Times New Roman"/>
                <w:sz w:val="18"/>
                <w:szCs w:val="20"/>
              </w:rPr>
              <w:t xml:space="preserve"> </w:t>
            </w:r>
          </w:p>
        </w:tc>
      </w:tr>
      <w:tr w:rsidR="00F83812" w:rsidRPr="00AB56BB" w14:paraId="60AB1906" w14:textId="77777777" w:rsidTr="2539CAE0">
        <w:tc>
          <w:tcPr>
            <w:tcW w:w="1945" w:type="dxa"/>
            <w:vMerge/>
          </w:tcPr>
          <w:p w14:paraId="7C1E7A21" w14:textId="74B2FD2F" w:rsidR="00F83812" w:rsidRDefault="00F83812" w:rsidP="00F83812">
            <w:pPr>
              <w:pStyle w:val="TableParagraph"/>
              <w:keepLines/>
              <w:widowControl/>
              <w:spacing w:line="268" w:lineRule="auto"/>
              <w:ind w:left="60"/>
              <w:rPr>
                <w:b/>
                <w:spacing w:val="-2"/>
                <w:sz w:val="18"/>
                <w:szCs w:val="20"/>
              </w:rPr>
            </w:pPr>
          </w:p>
        </w:tc>
        <w:tc>
          <w:tcPr>
            <w:tcW w:w="2217" w:type="dxa"/>
          </w:tcPr>
          <w:p w14:paraId="38404085" w14:textId="04A24FEF" w:rsidR="00F83812" w:rsidRDefault="00F83812" w:rsidP="00F83812">
            <w:pPr>
              <w:pStyle w:val="TableParagraph"/>
              <w:keepLines/>
              <w:widowControl/>
              <w:spacing w:line="207" w:lineRule="exact"/>
              <w:ind w:left="104"/>
              <w:rPr>
                <w:sz w:val="18"/>
                <w:szCs w:val="20"/>
              </w:rPr>
            </w:pPr>
            <w:r>
              <w:rPr>
                <w:sz w:val="18"/>
                <w:szCs w:val="20"/>
              </w:rPr>
              <w:t xml:space="preserve">Performance mechanisms (e.g., metrics, scorecards, </w:t>
            </w:r>
            <w:r>
              <w:rPr>
                <w:sz w:val="18"/>
                <w:szCs w:val="20"/>
              </w:rPr>
              <w:lastRenderedPageBreak/>
              <w:t>PIMS), including Case No. PUR-2023-00210 (Separate SCC PBR Case)</w:t>
            </w:r>
          </w:p>
        </w:tc>
        <w:tc>
          <w:tcPr>
            <w:tcW w:w="971" w:type="dxa"/>
            <w:gridSpan w:val="2"/>
          </w:tcPr>
          <w:p w14:paraId="13F803F6" w14:textId="67C94AFF" w:rsidR="00F83812" w:rsidRPr="00AB56BB" w:rsidRDefault="00F83812" w:rsidP="00F83812">
            <w:pPr>
              <w:pStyle w:val="TableParagraph"/>
              <w:keepLines/>
              <w:widowControl/>
              <w:jc w:val="center"/>
              <w:rPr>
                <w:rFonts w:ascii="Times New Roman"/>
                <w:sz w:val="18"/>
                <w:szCs w:val="20"/>
              </w:rPr>
            </w:pPr>
            <w:r>
              <w:rPr>
                <w:rFonts w:ascii="Times New Roman"/>
                <w:sz w:val="18"/>
                <w:szCs w:val="20"/>
              </w:rPr>
              <w:lastRenderedPageBreak/>
              <w:t>0</w:t>
            </w:r>
          </w:p>
        </w:tc>
        <w:tc>
          <w:tcPr>
            <w:tcW w:w="3296" w:type="dxa"/>
          </w:tcPr>
          <w:p w14:paraId="2CBCBF72" w14:textId="77777777" w:rsidR="00F83812" w:rsidRPr="00AB56BB" w:rsidRDefault="00F83812" w:rsidP="00F83812">
            <w:pPr>
              <w:pStyle w:val="TableParagraph"/>
              <w:keepLines/>
              <w:widowControl/>
              <w:rPr>
                <w:rFonts w:ascii="Times New Roman"/>
                <w:sz w:val="18"/>
                <w:szCs w:val="20"/>
              </w:rPr>
            </w:pPr>
          </w:p>
        </w:tc>
        <w:tc>
          <w:tcPr>
            <w:tcW w:w="4534" w:type="dxa"/>
          </w:tcPr>
          <w:p w14:paraId="60095267" w14:textId="77777777" w:rsidR="00F83812" w:rsidRPr="00AB56BB" w:rsidRDefault="00F83812" w:rsidP="00F83812">
            <w:pPr>
              <w:pStyle w:val="TableParagraph"/>
              <w:keepLines/>
              <w:widowControl/>
              <w:rPr>
                <w:rFonts w:ascii="Times New Roman"/>
                <w:sz w:val="18"/>
                <w:szCs w:val="20"/>
              </w:rPr>
            </w:pPr>
          </w:p>
        </w:tc>
      </w:tr>
      <w:tr w:rsidR="00F83812" w:rsidRPr="00AB56BB" w14:paraId="3AB55596" w14:textId="77777777" w:rsidTr="2539CAE0">
        <w:trPr>
          <w:cantSplit/>
        </w:trPr>
        <w:tc>
          <w:tcPr>
            <w:tcW w:w="1945" w:type="dxa"/>
            <w:vMerge w:val="restart"/>
            <w:vAlign w:val="center"/>
          </w:tcPr>
          <w:p w14:paraId="1EEBF2B1" w14:textId="35FE5C34" w:rsidR="00F83812" w:rsidRDefault="00F83812" w:rsidP="00F83812">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F83812" w:rsidRDefault="00F83812" w:rsidP="00F83812">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5E8CD9C4"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185F5CFF" w14:textId="77777777" w:rsidR="00F83812" w:rsidRPr="00AB56BB" w:rsidRDefault="00F83812" w:rsidP="00F83812">
            <w:pPr>
              <w:pStyle w:val="TableParagraph"/>
              <w:keepLines/>
              <w:widowControl/>
              <w:rPr>
                <w:rFonts w:ascii="Times New Roman"/>
                <w:sz w:val="18"/>
                <w:szCs w:val="20"/>
              </w:rPr>
            </w:pPr>
          </w:p>
        </w:tc>
        <w:tc>
          <w:tcPr>
            <w:tcW w:w="4534" w:type="dxa"/>
          </w:tcPr>
          <w:p w14:paraId="1D7F60E8" w14:textId="77777777" w:rsidR="00F83812" w:rsidRPr="00AB56BB" w:rsidRDefault="00F83812" w:rsidP="00F83812">
            <w:pPr>
              <w:pStyle w:val="TableParagraph"/>
              <w:keepLines/>
              <w:widowControl/>
              <w:rPr>
                <w:rFonts w:ascii="Times New Roman"/>
                <w:sz w:val="18"/>
                <w:szCs w:val="20"/>
              </w:rPr>
            </w:pPr>
          </w:p>
        </w:tc>
      </w:tr>
      <w:tr w:rsidR="00F83812" w:rsidRPr="00AB56BB" w14:paraId="513C320E" w14:textId="77777777" w:rsidTr="2539CAE0">
        <w:trPr>
          <w:cantSplit/>
        </w:trPr>
        <w:tc>
          <w:tcPr>
            <w:tcW w:w="1945" w:type="dxa"/>
            <w:vMerge/>
          </w:tcPr>
          <w:p w14:paraId="5DC3121C"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1F9AA945" w14:textId="2E8DE4EB" w:rsidR="00F83812" w:rsidRDefault="00F83812" w:rsidP="00F83812">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304F0BEA"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76E1DA20" w14:textId="77777777" w:rsidR="00F83812" w:rsidRPr="00AB56BB" w:rsidRDefault="00F83812" w:rsidP="00F83812">
            <w:pPr>
              <w:pStyle w:val="TableParagraph"/>
              <w:keepLines/>
              <w:widowControl/>
              <w:rPr>
                <w:rFonts w:ascii="Times New Roman"/>
                <w:sz w:val="18"/>
                <w:szCs w:val="20"/>
              </w:rPr>
            </w:pPr>
          </w:p>
        </w:tc>
        <w:tc>
          <w:tcPr>
            <w:tcW w:w="4534" w:type="dxa"/>
          </w:tcPr>
          <w:p w14:paraId="517A05C5" w14:textId="77777777" w:rsidR="00F83812" w:rsidRPr="00AB56BB" w:rsidRDefault="00F83812" w:rsidP="00F83812">
            <w:pPr>
              <w:pStyle w:val="TableParagraph"/>
              <w:keepLines/>
              <w:widowControl/>
              <w:rPr>
                <w:rFonts w:ascii="Times New Roman"/>
                <w:sz w:val="18"/>
                <w:szCs w:val="20"/>
              </w:rPr>
            </w:pPr>
          </w:p>
        </w:tc>
      </w:tr>
      <w:tr w:rsidR="00F83812" w:rsidRPr="00AB56BB" w14:paraId="4A37840C" w14:textId="77777777" w:rsidTr="2539CAE0">
        <w:trPr>
          <w:cantSplit/>
        </w:trPr>
        <w:tc>
          <w:tcPr>
            <w:tcW w:w="1945" w:type="dxa"/>
            <w:vMerge/>
          </w:tcPr>
          <w:p w14:paraId="1BD8D144"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67E0E675" w14:textId="471ACD6D" w:rsidR="00F83812" w:rsidRDefault="00F83812" w:rsidP="00F83812">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6388E81F"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2D3738F1" w14:textId="77777777" w:rsidR="00F83812" w:rsidRPr="00AB56BB" w:rsidRDefault="00F83812" w:rsidP="00F83812">
            <w:pPr>
              <w:pStyle w:val="TableParagraph"/>
              <w:keepLines/>
              <w:widowControl/>
              <w:rPr>
                <w:rFonts w:ascii="Times New Roman"/>
                <w:sz w:val="18"/>
                <w:szCs w:val="20"/>
              </w:rPr>
            </w:pPr>
          </w:p>
        </w:tc>
        <w:tc>
          <w:tcPr>
            <w:tcW w:w="4534" w:type="dxa"/>
          </w:tcPr>
          <w:p w14:paraId="3A903B16" w14:textId="77777777" w:rsidR="00F83812" w:rsidRPr="00AB56BB" w:rsidRDefault="00F83812" w:rsidP="00F83812">
            <w:pPr>
              <w:pStyle w:val="TableParagraph"/>
              <w:keepLines/>
              <w:widowControl/>
              <w:rPr>
                <w:rFonts w:ascii="Times New Roman"/>
                <w:sz w:val="18"/>
                <w:szCs w:val="20"/>
              </w:rPr>
            </w:pPr>
          </w:p>
        </w:tc>
      </w:tr>
      <w:tr w:rsidR="00F83812" w:rsidRPr="00AB56BB" w14:paraId="70B15E51" w14:textId="77777777" w:rsidTr="2539CAE0">
        <w:trPr>
          <w:cantSplit/>
        </w:trPr>
        <w:tc>
          <w:tcPr>
            <w:tcW w:w="1945" w:type="dxa"/>
            <w:vMerge/>
          </w:tcPr>
          <w:p w14:paraId="4ED19E05"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5AA8019A" w14:textId="38C5E925" w:rsidR="00F83812" w:rsidRDefault="00F83812" w:rsidP="00F83812">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163DDE7B"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44FA10F0" w14:textId="77777777" w:rsidR="00F83812" w:rsidRPr="00AB56BB" w:rsidRDefault="00F83812" w:rsidP="00F83812">
            <w:pPr>
              <w:pStyle w:val="TableParagraph"/>
              <w:keepLines/>
              <w:widowControl/>
              <w:rPr>
                <w:rFonts w:ascii="Times New Roman"/>
                <w:sz w:val="18"/>
                <w:szCs w:val="20"/>
              </w:rPr>
            </w:pPr>
          </w:p>
        </w:tc>
        <w:tc>
          <w:tcPr>
            <w:tcW w:w="4534" w:type="dxa"/>
          </w:tcPr>
          <w:p w14:paraId="48689F3A" w14:textId="77777777" w:rsidR="00F83812" w:rsidRPr="00AB56BB" w:rsidRDefault="00F83812" w:rsidP="00F83812">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60"/>
        <w:gridCol w:w="1530"/>
        <w:gridCol w:w="7470"/>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7777777" w:rsidR="00615B91" w:rsidRDefault="00615B91">
            <w:pPr>
              <w:pStyle w:val="BodyText"/>
              <w:spacing w:before="63"/>
            </w:pPr>
          </w:p>
        </w:tc>
        <w:tc>
          <w:tcPr>
            <w:tcW w:w="7470" w:type="dxa"/>
          </w:tcPr>
          <w:p w14:paraId="28993F9A" w14:textId="77777777" w:rsidR="00615B91" w:rsidRDefault="00615B91">
            <w:pPr>
              <w:pStyle w:val="BodyText"/>
              <w:spacing w:before="63"/>
            </w:pP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E553BFC" w14:textId="77777777" w:rsidR="00615B91" w:rsidRDefault="00615B91">
            <w:pPr>
              <w:pStyle w:val="BodyText"/>
              <w:spacing w:before="63"/>
            </w:pPr>
          </w:p>
        </w:tc>
      </w:tr>
      <w:tr w:rsidR="00615B91" w:rsidRPr="00887020" w14:paraId="3CA1F8FF" w14:textId="77777777" w:rsidTr="004E09CA">
        <w:trPr>
          <w:trHeight w:val="905"/>
        </w:trPr>
        <w:tc>
          <w:tcPr>
            <w:tcW w:w="3960" w:type="dxa"/>
          </w:tcPr>
          <w:p w14:paraId="75D35AC4" w14:textId="0C06DB50" w:rsidR="00615B91" w:rsidRPr="00887020" w:rsidRDefault="00754FD1">
            <w:pPr>
              <w:pStyle w:val="BodyText"/>
              <w:spacing w:before="63"/>
            </w:pPr>
            <w:r w:rsidRPr="00887020">
              <w:rPr>
                <w:b/>
                <w:bCs/>
                <w:highlight w:val="yellow"/>
              </w:rPr>
              <w:t xml:space="preserve">- (NO) </w:t>
            </w:r>
            <w:r w:rsidRPr="00887020">
              <w:rPr>
                <w:highlight w:val="yellow"/>
              </w:rPr>
              <w:t>disincentivizes achievement</w:t>
            </w:r>
          </w:p>
        </w:tc>
        <w:tc>
          <w:tcPr>
            <w:tcW w:w="1530" w:type="dxa"/>
          </w:tcPr>
          <w:p w14:paraId="484E130E" w14:textId="5C8B202C" w:rsidR="00615B91" w:rsidRPr="00887020" w:rsidRDefault="007E541F" w:rsidP="007E541F">
            <w:pPr>
              <w:pStyle w:val="BodyText"/>
              <w:spacing w:before="63"/>
              <w:jc w:val="center"/>
            </w:pPr>
            <w:r w:rsidRPr="00887020">
              <w:t>-</w:t>
            </w:r>
          </w:p>
        </w:tc>
        <w:tc>
          <w:tcPr>
            <w:tcW w:w="7470" w:type="dxa"/>
          </w:tcPr>
          <w:p w14:paraId="763DD1AE" w14:textId="76F6A640" w:rsidR="00615B91" w:rsidRPr="00887020" w:rsidRDefault="007E541F">
            <w:pPr>
              <w:pStyle w:val="BodyText"/>
              <w:spacing w:before="63"/>
            </w:pPr>
            <w:r w:rsidRPr="00887020">
              <w:t>The trackers employed by Virginia’s utilities erase the essential incentive to economize on costs. All</w:t>
            </w:r>
            <w:r w:rsidR="00F83812" w:rsidRPr="00887020">
              <w:t>—or nearly all—costs (both capital and operating expenditures) should be brought into the fold of a single ratemaking mechanism</w:t>
            </w:r>
            <w:r w:rsidR="00887020" w:rsidRPr="00887020">
              <w:t xml:space="preserve"> (</w:t>
            </w:r>
            <w:r w:rsidR="00887020">
              <w:t>eliminate</w:t>
            </w:r>
            <w:r w:rsidR="00887020" w:rsidRPr="00887020">
              <w:t xml:space="preserve"> </w:t>
            </w:r>
            <w:r w:rsidR="00887020" w:rsidRPr="00887020">
              <w:t>the RACs, riders, and fuel factor</w:t>
            </w:r>
            <w:r w:rsidR="00887020" w:rsidRPr="00887020">
              <w:t>).</w:t>
            </w:r>
          </w:p>
        </w:tc>
      </w:tr>
    </w:tbl>
    <w:p w14:paraId="40DB61E6" w14:textId="77777777" w:rsidR="00615B91" w:rsidRPr="00887020" w:rsidRDefault="00615B91">
      <w:pPr>
        <w:pStyle w:val="BodyText"/>
        <w:spacing w:before="63"/>
      </w:pPr>
    </w:p>
    <w:sectPr w:rsidR="00615B91" w:rsidRPr="00887020">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124"/>
    <w:rsid w:val="00003EBB"/>
    <w:rsid w:val="00011C8A"/>
    <w:rsid w:val="00030B40"/>
    <w:rsid w:val="00036883"/>
    <w:rsid w:val="000460F7"/>
    <w:rsid w:val="00073979"/>
    <w:rsid w:val="00083862"/>
    <w:rsid w:val="000868B8"/>
    <w:rsid w:val="00093FE1"/>
    <w:rsid w:val="000B6FEE"/>
    <w:rsid w:val="000C1A37"/>
    <w:rsid w:val="000C540E"/>
    <w:rsid w:val="000D5D3E"/>
    <w:rsid w:val="000D6A65"/>
    <w:rsid w:val="00102191"/>
    <w:rsid w:val="001347A7"/>
    <w:rsid w:val="00151704"/>
    <w:rsid w:val="00164208"/>
    <w:rsid w:val="00170B8D"/>
    <w:rsid w:val="00171D14"/>
    <w:rsid w:val="00184101"/>
    <w:rsid w:val="001D3F19"/>
    <w:rsid w:val="001D7C93"/>
    <w:rsid w:val="00227669"/>
    <w:rsid w:val="00231CD8"/>
    <w:rsid w:val="002328B9"/>
    <w:rsid w:val="002330C2"/>
    <w:rsid w:val="00244057"/>
    <w:rsid w:val="00244168"/>
    <w:rsid w:val="002772F7"/>
    <w:rsid w:val="0028509B"/>
    <w:rsid w:val="002A4C87"/>
    <w:rsid w:val="002B2930"/>
    <w:rsid w:val="002C5955"/>
    <w:rsid w:val="002D6FA4"/>
    <w:rsid w:val="002D741E"/>
    <w:rsid w:val="002E4B1D"/>
    <w:rsid w:val="00301124"/>
    <w:rsid w:val="0034215D"/>
    <w:rsid w:val="00355536"/>
    <w:rsid w:val="00376BB9"/>
    <w:rsid w:val="003841E6"/>
    <w:rsid w:val="00392ADD"/>
    <w:rsid w:val="003B2653"/>
    <w:rsid w:val="003C30FC"/>
    <w:rsid w:val="003D5C0B"/>
    <w:rsid w:val="003E2469"/>
    <w:rsid w:val="003F4240"/>
    <w:rsid w:val="00407EE7"/>
    <w:rsid w:val="004137AD"/>
    <w:rsid w:val="00413A72"/>
    <w:rsid w:val="00436984"/>
    <w:rsid w:val="00465EDD"/>
    <w:rsid w:val="0047002F"/>
    <w:rsid w:val="00496FF4"/>
    <w:rsid w:val="004A2957"/>
    <w:rsid w:val="004B76A9"/>
    <w:rsid w:val="004C7A24"/>
    <w:rsid w:val="004D3195"/>
    <w:rsid w:val="004E09CA"/>
    <w:rsid w:val="005176C8"/>
    <w:rsid w:val="005258EF"/>
    <w:rsid w:val="005266A6"/>
    <w:rsid w:val="005448D6"/>
    <w:rsid w:val="00545EFF"/>
    <w:rsid w:val="005475E0"/>
    <w:rsid w:val="00547D7E"/>
    <w:rsid w:val="00573C42"/>
    <w:rsid w:val="00576840"/>
    <w:rsid w:val="005947D3"/>
    <w:rsid w:val="005A22A8"/>
    <w:rsid w:val="005A49AC"/>
    <w:rsid w:val="005A69A8"/>
    <w:rsid w:val="005B30CB"/>
    <w:rsid w:val="005C7B09"/>
    <w:rsid w:val="005D0F2A"/>
    <w:rsid w:val="005F257D"/>
    <w:rsid w:val="00614208"/>
    <w:rsid w:val="00615B91"/>
    <w:rsid w:val="006253AE"/>
    <w:rsid w:val="0063094C"/>
    <w:rsid w:val="00656C5D"/>
    <w:rsid w:val="00680819"/>
    <w:rsid w:val="006816E1"/>
    <w:rsid w:val="006819D3"/>
    <w:rsid w:val="00690C71"/>
    <w:rsid w:val="00691EC5"/>
    <w:rsid w:val="0069659F"/>
    <w:rsid w:val="006A3122"/>
    <w:rsid w:val="006B38B8"/>
    <w:rsid w:val="006D132E"/>
    <w:rsid w:val="00710EAA"/>
    <w:rsid w:val="00714310"/>
    <w:rsid w:val="00750864"/>
    <w:rsid w:val="00754FD1"/>
    <w:rsid w:val="007629A1"/>
    <w:rsid w:val="00770BDF"/>
    <w:rsid w:val="007808A6"/>
    <w:rsid w:val="00793FE9"/>
    <w:rsid w:val="0079634D"/>
    <w:rsid w:val="007D75B2"/>
    <w:rsid w:val="007E541F"/>
    <w:rsid w:val="007E547C"/>
    <w:rsid w:val="007F02AE"/>
    <w:rsid w:val="00814768"/>
    <w:rsid w:val="008210CD"/>
    <w:rsid w:val="00832CCF"/>
    <w:rsid w:val="00851168"/>
    <w:rsid w:val="00887020"/>
    <w:rsid w:val="008B5900"/>
    <w:rsid w:val="008C5672"/>
    <w:rsid w:val="008D1F0D"/>
    <w:rsid w:val="008D5F1D"/>
    <w:rsid w:val="009410E2"/>
    <w:rsid w:val="00950161"/>
    <w:rsid w:val="00954D7F"/>
    <w:rsid w:val="00975722"/>
    <w:rsid w:val="00985A5C"/>
    <w:rsid w:val="0099153C"/>
    <w:rsid w:val="009A063C"/>
    <w:rsid w:val="009A4357"/>
    <w:rsid w:val="009A4618"/>
    <w:rsid w:val="009B706B"/>
    <w:rsid w:val="009D0627"/>
    <w:rsid w:val="00A27048"/>
    <w:rsid w:val="00A35606"/>
    <w:rsid w:val="00A568B8"/>
    <w:rsid w:val="00A64864"/>
    <w:rsid w:val="00A65347"/>
    <w:rsid w:val="00A71544"/>
    <w:rsid w:val="00AB56BB"/>
    <w:rsid w:val="00AC6ED0"/>
    <w:rsid w:val="00AD1331"/>
    <w:rsid w:val="00AD3504"/>
    <w:rsid w:val="00AF2055"/>
    <w:rsid w:val="00AF5014"/>
    <w:rsid w:val="00B1524D"/>
    <w:rsid w:val="00B1550F"/>
    <w:rsid w:val="00B3061E"/>
    <w:rsid w:val="00B50F2D"/>
    <w:rsid w:val="00B72D93"/>
    <w:rsid w:val="00BA734C"/>
    <w:rsid w:val="00BD3E53"/>
    <w:rsid w:val="00BF11FB"/>
    <w:rsid w:val="00BF32CE"/>
    <w:rsid w:val="00BF649A"/>
    <w:rsid w:val="00C31C6D"/>
    <w:rsid w:val="00C51E2D"/>
    <w:rsid w:val="00C55D51"/>
    <w:rsid w:val="00C774D7"/>
    <w:rsid w:val="00CA4314"/>
    <w:rsid w:val="00CE1F45"/>
    <w:rsid w:val="00CF49F6"/>
    <w:rsid w:val="00CF7C64"/>
    <w:rsid w:val="00D0267F"/>
    <w:rsid w:val="00D02A65"/>
    <w:rsid w:val="00D04455"/>
    <w:rsid w:val="00D13523"/>
    <w:rsid w:val="00D2263F"/>
    <w:rsid w:val="00D23E02"/>
    <w:rsid w:val="00D36DA2"/>
    <w:rsid w:val="00D4274C"/>
    <w:rsid w:val="00D50CDE"/>
    <w:rsid w:val="00D51678"/>
    <w:rsid w:val="00D5713E"/>
    <w:rsid w:val="00D64719"/>
    <w:rsid w:val="00D674FC"/>
    <w:rsid w:val="00D93C51"/>
    <w:rsid w:val="00D9444C"/>
    <w:rsid w:val="00DA1F07"/>
    <w:rsid w:val="00DB0C1F"/>
    <w:rsid w:val="00DB413E"/>
    <w:rsid w:val="00DB5A8F"/>
    <w:rsid w:val="00DC0530"/>
    <w:rsid w:val="00DC4B01"/>
    <w:rsid w:val="00DD602C"/>
    <w:rsid w:val="00E05315"/>
    <w:rsid w:val="00E14B74"/>
    <w:rsid w:val="00E23189"/>
    <w:rsid w:val="00E40CEE"/>
    <w:rsid w:val="00E67992"/>
    <w:rsid w:val="00E70063"/>
    <w:rsid w:val="00E81365"/>
    <w:rsid w:val="00E847AA"/>
    <w:rsid w:val="00E932D1"/>
    <w:rsid w:val="00E97484"/>
    <w:rsid w:val="00EA3267"/>
    <w:rsid w:val="00EC013F"/>
    <w:rsid w:val="00ED22F6"/>
    <w:rsid w:val="00F10FF9"/>
    <w:rsid w:val="00F1404D"/>
    <w:rsid w:val="00F2045A"/>
    <w:rsid w:val="00F2783E"/>
    <w:rsid w:val="00F332B0"/>
    <w:rsid w:val="00F47D1D"/>
    <w:rsid w:val="00F83812"/>
    <w:rsid w:val="00F97CC8"/>
    <w:rsid w:val="00FA7CD6"/>
    <w:rsid w:val="00FB5587"/>
    <w:rsid w:val="00FC05CF"/>
    <w:rsid w:val="00FC2FA7"/>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3.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615</Words>
  <Characters>3882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Claire Gardner</cp:lastModifiedBy>
  <cp:revision>3</cp:revision>
  <dcterms:created xsi:type="dcterms:W3CDTF">2025-03-24T18:07:00Z</dcterms:created>
  <dcterms:modified xsi:type="dcterms:W3CDTF">2025-03-24T18:24:00Z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